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468" w:beforeLines="150" w:after="468" w:afterLines="150"/>
        <w:rPr>
          <w:rFonts w:ascii="宋体" w:hAnsi="宋体" w:eastAsia="宋体" w:cs="Arial"/>
          <w:b/>
          <w:sz w:val="28"/>
          <w:szCs w:val="28"/>
        </w:rPr>
      </w:pPr>
      <w:r>
        <w:rPr>
          <w:rFonts w:hint="eastAsia" w:ascii="宋体" w:hAnsi="宋体" w:eastAsia="宋体" w:cs="Arial"/>
          <w:b/>
          <w:sz w:val="28"/>
          <w:szCs w:val="28"/>
        </w:rPr>
        <w:t>一、产品描述</w:t>
      </w:r>
      <w:bookmarkStart w:id="0" w:name="_GoBack"/>
      <w:bookmarkEnd w:id="0"/>
    </w:p>
    <w:p>
      <w:pPr>
        <w:adjustRightInd w:val="0"/>
        <w:snapToGrid w:val="0"/>
        <w:spacing w:before="468" w:beforeLines="150" w:after="468" w:afterLines="150" w:line="360" w:lineRule="auto"/>
        <w:ind w:firstLine="420" w:firstLineChars="200"/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drawing>
          <wp:inline distT="0" distB="0" distL="114300" distR="114300">
            <wp:extent cx="4083685" cy="3067050"/>
            <wp:effectExtent l="0" t="0" r="12065" b="0"/>
            <wp:docPr id="7" name="图片 7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untitl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before="468" w:beforeLines="150" w:after="468" w:afterLines="150" w:line="360" w:lineRule="auto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8路</w:t>
      </w:r>
      <w:r>
        <w:rPr>
          <w:rFonts w:hint="eastAsia" w:ascii="宋体" w:hAnsi="宋体" w:eastAsia="宋体"/>
          <w:szCs w:val="21"/>
          <w:lang w:eastAsia="zh-CN"/>
        </w:rPr>
        <w:t>百</w:t>
      </w:r>
      <w:r>
        <w:rPr>
          <w:rFonts w:hint="eastAsia" w:ascii="宋体" w:hAnsi="宋体" w:eastAsia="宋体"/>
          <w:szCs w:val="21"/>
        </w:rPr>
        <w:t>兆电口+2路</w:t>
      </w:r>
      <w:r>
        <w:rPr>
          <w:rFonts w:hint="eastAsia" w:ascii="宋体" w:hAnsi="宋体" w:eastAsia="宋体"/>
          <w:szCs w:val="21"/>
          <w:lang w:eastAsia="zh-CN"/>
        </w:rPr>
        <w:t>百</w:t>
      </w:r>
      <w:r>
        <w:rPr>
          <w:rFonts w:hint="eastAsia" w:ascii="宋体" w:hAnsi="宋体" w:eastAsia="宋体"/>
          <w:szCs w:val="21"/>
        </w:rPr>
        <w:t>兆FX光口工业级以太网交换机，支持8个100Base-TX电口和2个100Base-X光口。交换机具有-40℃～85℃的工作温度，具有超强的坚固度能适应各种严苛环境，也可以非常方便的安置在空间紧凑的控制箱中。导轨的安装特性、宽温操作及拥有IP40防护等级的外壳及LED指示灯，</w:t>
      </w:r>
      <w:r>
        <w:rPr>
          <w:rFonts w:hint="eastAsia" w:ascii="宋体" w:hAnsi="宋体" w:eastAsia="宋体"/>
          <w:szCs w:val="21"/>
          <w:lang w:eastAsia="zh-CN"/>
        </w:rPr>
        <w:t>是</w:t>
      </w:r>
      <w:r>
        <w:rPr>
          <w:rFonts w:hint="eastAsia" w:ascii="宋体" w:hAnsi="宋体" w:eastAsia="宋体"/>
          <w:szCs w:val="21"/>
        </w:rPr>
        <w:t>一个即插即用的工业级设备，为用户的以太网设备联网提供可靠、便捷的解决方案。</w:t>
      </w:r>
    </w:p>
    <w:p>
      <w:pPr>
        <w:adjustRightInd w:val="0"/>
        <w:snapToGrid w:val="0"/>
        <w:spacing w:before="468" w:beforeLines="150" w:after="468" w:afterLines="150" w:line="360" w:lineRule="auto"/>
        <w:ind w:firstLine="420" w:firstLineChars="200"/>
        <w:rPr>
          <w:rFonts w:ascii="宋体" w:hAnsi="宋体" w:eastAsia="宋体"/>
          <w:szCs w:val="21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功能特性</w:t>
      </w:r>
    </w:p>
    <w:p>
      <w:pPr>
        <w:adjustRightInd w:val="0"/>
        <w:snapToGrid w:val="0"/>
        <w:spacing w:before="312" w:beforeLines="100" w:after="312" w:afterLines="100" w:line="360" w:lineRule="auto"/>
        <w:rPr>
          <w:rStyle w:val="11"/>
          <w:rFonts w:ascii="宋体" w:hAnsi="宋体" w:eastAsia="宋体"/>
          <w:color w:val="auto"/>
          <w:szCs w:val="21"/>
          <w:u w:val="none"/>
        </w:rPr>
      </w:pPr>
      <w:r>
        <w:rPr>
          <w:rFonts w:hint="eastAsia" w:ascii="宋体" w:hAnsi="宋体" w:eastAsia="宋体"/>
          <w:szCs w:val="21"/>
        </w:rPr>
        <w:t>●采用优质的光电一体化模块提供良好的光特性和电气特性，</w:t>
      </w:r>
      <w:r>
        <w:rPr>
          <w:rFonts w:hint="eastAsia" w:ascii="宋体" w:hAnsi="宋体" w:eastAsia="宋体"/>
          <w:szCs w:val="21"/>
        </w:rPr>
        <w:br w:type="textWrapping"/>
      </w:r>
      <w:r>
        <w:rPr>
          <w:rFonts w:hint="eastAsia" w:ascii="宋体" w:hAnsi="宋体" w:eastAsia="宋体"/>
          <w:szCs w:val="21"/>
        </w:rPr>
        <w:t>●保证数据传输可靠，工作寿命长</w:t>
      </w:r>
      <w:r>
        <w:rPr>
          <w:rFonts w:hint="eastAsia" w:ascii="宋体" w:hAnsi="宋体" w:eastAsia="宋体"/>
          <w:szCs w:val="21"/>
        </w:rPr>
        <w:br w:type="textWrapping"/>
      </w:r>
      <w:r>
        <w:rPr>
          <w:rFonts w:hint="eastAsia" w:ascii="宋体" w:hAnsi="宋体" w:eastAsia="宋体"/>
          <w:szCs w:val="21"/>
        </w:rPr>
        <w:t>●支持全双工或半双工模式，并带有自动协商能力</w:t>
      </w:r>
      <w:r>
        <w:rPr>
          <w:rFonts w:hint="eastAsia" w:ascii="宋体" w:hAnsi="宋体" w:eastAsia="宋体"/>
          <w:szCs w:val="21"/>
        </w:rPr>
        <w:br w:type="textWrapping"/>
      </w:r>
      <w:r>
        <w:rPr>
          <w:rFonts w:hint="eastAsia" w:ascii="宋体" w:hAnsi="宋体" w:eastAsia="宋体"/>
          <w:szCs w:val="21"/>
        </w:rPr>
        <w:t>●网口支持全自动交叉识别</w:t>
      </w:r>
      <w:r>
        <w:rPr>
          <w:rFonts w:hint="eastAsia" w:ascii="宋体" w:hAnsi="宋体" w:eastAsia="宋体"/>
          <w:szCs w:val="21"/>
        </w:rPr>
        <w:br w:type="textWrapping"/>
      </w:r>
      <w:r>
        <w:rPr>
          <w:rFonts w:hint="eastAsia" w:ascii="宋体" w:hAnsi="宋体" w:eastAsia="宋体"/>
          <w:szCs w:val="21"/>
        </w:rPr>
        <w:t>●内带存储转发机制，支持多种协议</w:t>
      </w:r>
      <w:r>
        <w:rPr>
          <w:rFonts w:hint="eastAsia" w:ascii="宋体" w:hAnsi="宋体" w:eastAsia="宋体"/>
          <w:szCs w:val="21"/>
        </w:rPr>
        <w:br w:type="textWrapping"/>
      </w:r>
      <w:r>
        <w:rPr>
          <w:rFonts w:hint="eastAsia" w:ascii="宋体" w:hAnsi="宋体" w:eastAsia="宋体"/>
          <w:szCs w:val="21"/>
        </w:rPr>
        <w:t>●符合电信级运营标准，平均无故障工作在30万小时以上</w:t>
      </w:r>
      <w:r>
        <w:rPr>
          <w:rFonts w:hint="eastAsia" w:ascii="宋体" w:hAnsi="宋体" w:eastAsia="宋体"/>
          <w:szCs w:val="21"/>
        </w:rPr>
        <w:br w:type="textWrapping"/>
      </w:r>
      <w:r>
        <w:rPr>
          <w:rFonts w:hint="eastAsia" w:ascii="宋体" w:hAnsi="宋体" w:eastAsia="宋体"/>
          <w:szCs w:val="21"/>
        </w:rPr>
        <w:t>●工作电源：DC 12-</w:t>
      </w:r>
      <w:r>
        <w:rPr>
          <w:rFonts w:hint="eastAsia" w:ascii="宋体" w:hAnsi="宋体" w:eastAsia="宋体"/>
          <w:szCs w:val="21"/>
          <w:lang w:val="en-US" w:eastAsia="zh-CN"/>
        </w:rPr>
        <w:t>52</w:t>
      </w:r>
      <w:r>
        <w:rPr>
          <w:rFonts w:hint="eastAsia" w:ascii="宋体" w:hAnsi="宋体" w:eastAsia="宋体"/>
          <w:szCs w:val="21"/>
        </w:rPr>
        <w:t>V 提供反接保护</w:t>
      </w:r>
      <w:r>
        <w:rPr>
          <w:rFonts w:hint="eastAsia" w:ascii="宋体" w:hAnsi="宋体" w:eastAsia="宋体"/>
          <w:szCs w:val="21"/>
        </w:rPr>
        <w:br w:type="textWrapping"/>
      </w:r>
      <w:r>
        <w:rPr>
          <w:rFonts w:hint="eastAsia" w:ascii="宋体" w:hAnsi="宋体" w:eastAsia="宋体"/>
          <w:szCs w:val="21"/>
        </w:rPr>
        <w:t>●使用S</w:t>
      </w:r>
      <w:r>
        <w:rPr>
          <w:rFonts w:hint="eastAsia" w:ascii="宋体" w:hAnsi="宋体" w:eastAsia="宋体"/>
          <w:szCs w:val="21"/>
          <w:lang w:val="en-US" w:eastAsia="zh-CN"/>
        </w:rPr>
        <w:t>C</w:t>
      </w:r>
      <w:r>
        <w:rPr>
          <w:rFonts w:hint="eastAsia" w:ascii="宋体" w:hAnsi="宋体" w:eastAsia="宋体"/>
          <w:szCs w:val="21"/>
        </w:rPr>
        <w:t>光纤接口</w:t>
      </w:r>
      <w:r>
        <w:rPr>
          <w:rFonts w:hint="eastAsia" w:ascii="宋体" w:hAnsi="宋体" w:eastAsia="宋体"/>
          <w:szCs w:val="21"/>
        </w:rPr>
        <w:br w:type="textWrapping"/>
      </w:r>
      <w:r>
        <w:rPr>
          <w:rFonts w:hint="eastAsia" w:ascii="宋体" w:hAnsi="宋体" w:eastAsia="宋体"/>
          <w:szCs w:val="21"/>
        </w:rPr>
        <w:t>●雷击浪涌冲击防护(电源)：5000A(8/20μs)</w:t>
      </w:r>
    </w:p>
    <w:p>
      <w:pPr>
        <w:numPr>
          <w:ilvl w:val="0"/>
          <w:numId w:val="1"/>
        </w:numPr>
        <w:adjustRightInd w:val="0"/>
        <w:snapToGrid w:val="0"/>
        <w:spacing w:after="100" w:afterAutospacing="1"/>
        <w:rPr>
          <w:rStyle w:val="11"/>
          <w:rFonts w:ascii="宋体" w:hAnsi="宋体" w:eastAsia="宋体" w:cs="宋体"/>
          <w:b/>
          <w:bCs/>
          <w:color w:val="auto"/>
          <w:sz w:val="28"/>
          <w:szCs w:val="28"/>
          <w:u w:val="none"/>
        </w:rPr>
      </w:pPr>
      <w:r>
        <w:rPr>
          <w:rStyle w:val="11"/>
          <w:rFonts w:hint="eastAsia" w:ascii="宋体" w:hAnsi="宋体" w:eastAsia="宋体" w:cs="宋体"/>
          <w:b/>
          <w:bCs/>
          <w:color w:val="auto"/>
          <w:sz w:val="28"/>
          <w:szCs w:val="28"/>
          <w:u w:val="none"/>
        </w:rPr>
        <w:t>规格参数</w:t>
      </w:r>
    </w:p>
    <w:tbl>
      <w:tblPr>
        <w:tblStyle w:val="8"/>
        <w:tblpPr w:leftFromText="180" w:rightFromText="180" w:vertAnchor="text" w:tblpX="10214" w:tblpY="3291"/>
        <w:tblOverlap w:val="never"/>
        <w:tblW w:w="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" w:hRule="atLeast"/>
        </w:trPr>
        <w:tc>
          <w:tcPr>
            <w:tcW w:w="351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</w:rPr>
            </w:pPr>
          </w:p>
        </w:tc>
      </w:tr>
    </w:tbl>
    <w:tbl>
      <w:tblPr>
        <w:tblStyle w:val="7"/>
        <w:tblW w:w="8391" w:type="dxa"/>
        <w:tblCellSpacing w:w="0" w:type="dxa"/>
        <w:tblInd w:w="-340" w:type="dxa"/>
        <w:tblBorders>
          <w:top w:val="single" w:color="DDDDDD" w:sz="6" w:space="0"/>
          <w:left w:val="single" w:color="DDDDDD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1"/>
        <w:gridCol w:w="193"/>
        <w:gridCol w:w="6477"/>
      </w:tblGrid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tblCellSpacing w:w="0" w:type="dxa"/>
        </w:trPr>
        <w:tc>
          <w:tcPr>
            <w:tcW w:w="8391" w:type="dxa"/>
            <w:gridSpan w:val="3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006699"/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 w:line="382" w:lineRule="atLeast"/>
              <w:rPr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技术参数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tblCellSpacing w:w="0" w:type="dxa"/>
        </w:trPr>
        <w:tc>
          <w:tcPr>
            <w:tcW w:w="1914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CCCCCC"/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 产品名称</w:t>
            </w:r>
          </w:p>
        </w:tc>
        <w:tc>
          <w:tcPr>
            <w:tcW w:w="64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100M 2光8电工业级以太网交换机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  <w:tblCellSpacing w:w="0" w:type="dxa"/>
        </w:trPr>
        <w:tc>
          <w:tcPr>
            <w:tcW w:w="1914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CCCCCC"/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 w:line="76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产品型号</w:t>
            </w:r>
          </w:p>
        </w:tc>
        <w:tc>
          <w:tcPr>
            <w:tcW w:w="64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 w:line="76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VT-SC208G-M2</w:t>
            </w:r>
            <w:r>
              <w:rPr>
                <w:rFonts w:hint="eastAsia"/>
                <w:sz w:val="21"/>
                <w:szCs w:val="21"/>
              </w:rPr>
              <w:t>系列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tblCellSpacing w:w="0" w:type="dxa"/>
        </w:trPr>
        <w:tc>
          <w:tcPr>
            <w:tcW w:w="1914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CCCCCC"/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 产品描述</w:t>
            </w:r>
          </w:p>
        </w:tc>
        <w:tc>
          <w:tcPr>
            <w:tcW w:w="64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8路</w:t>
            </w:r>
            <w:r>
              <w:rPr>
                <w:rFonts w:hint="eastAsia"/>
                <w:sz w:val="21"/>
                <w:szCs w:val="21"/>
                <w:lang w:eastAsia="zh-CN"/>
              </w:rPr>
              <w:t>百兆</w:t>
            </w:r>
            <w:r>
              <w:rPr>
                <w:rFonts w:hint="eastAsia"/>
                <w:sz w:val="21"/>
                <w:szCs w:val="21"/>
              </w:rPr>
              <w:t>电口+2路</w:t>
            </w:r>
            <w:r>
              <w:rPr>
                <w:rFonts w:hint="eastAsia"/>
                <w:sz w:val="21"/>
                <w:szCs w:val="21"/>
                <w:lang w:eastAsia="zh-CN"/>
              </w:rPr>
              <w:t>百</w:t>
            </w:r>
            <w:r>
              <w:rPr>
                <w:rFonts w:hint="eastAsia"/>
                <w:sz w:val="21"/>
                <w:szCs w:val="21"/>
              </w:rPr>
              <w:t>兆光口工业级以太网交换机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tblCellSpacing w:w="0" w:type="dxa"/>
        </w:trPr>
        <w:tc>
          <w:tcPr>
            <w:tcW w:w="1914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CCCCCC"/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 端口描述</w:t>
            </w:r>
          </w:p>
        </w:tc>
        <w:tc>
          <w:tcPr>
            <w:tcW w:w="64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8个RJ45端口+2个光纤接口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tblCellSpacing w:w="0" w:type="dxa"/>
        </w:trPr>
        <w:tc>
          <w:tcPr>
            <w:tcW w:w="1914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CCCCCC"/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 网络协议</w:t>
            </w:r>
          </w:p>
        </w:tc>
        <w:tc>
          <w:tcPr>
            <w:tcW w:w="64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IEEE802.3 10BASE-T; IEEE802.3i 10Base-T;IEEE802.3u;100Base-TX/FX;</w:t>
            </w:r>
          </w:p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IEEE802.3ab 1000Base-T; IEEE802.3z 1000Base-X; IEEE802.3x; 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tblCellSpacing w:w="0" w:type="dxa"/>
        </w:trPr>
        <w:tc>
          <w:tcPr>
            <w:tcW w:w="1914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CCCCCC"/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 RJ45端口</w:t>
            </w:r>
          </w:p>
        </w:tc>
        <w:tc>
          <w:tcPr>
            <w:tcW w:w="64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10/100BaseT（X）自动侦测，全/半双工MDI/MDI-X自适应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tblCellSpacing w:w="0" w:type="dxa"/>
        </w:trPr>
        <w:tc>
          <w:tcPr>
            <w:tcW w:w="1914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CCCCCC"/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 光纤端口</w:t>
            </w:r>
          </w:p>
        </w:tc>
        <w:tc>
          <w:tcPr>
            <w:tcW w:w="64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Style w:val="11"/>
                <w:rFonts w:hint="eastAsia"/>
                <w:color w:val="auto"/>
                <w:sz w:val="21"/>
                <w:szCs w:val="21"/>
                <w:u w:val="none"/>
              </w:rPr>
              <w:t>100BaseFX端口（</w:t>
            </w:r>
            <w:r>
              <w:rPr>
                <w:rStyle w:val="11"/>
                <w:rFonts w:hint="eastAsia"/>
                <w:color w:val="auto"/>
                <w:sz w:val="21"/>
                <w:szCs w:val="21"/>
                <w:u w:val="none"/>
                <w:lang w:val="en-US" w:eastAsia="zh-CN"/>
              </w:rPr>
              <w:t>SC</w:t>
            </w:r>
            <w:r>
              <w:rPr>
                <w:rStyle w:val="11"/>
                <w:rFonts w:hint="eastAsia"/>
                <w:color w:val="auto"/>
                <w:sz w:val="21"/>
                <w:szCs w:val="21"/>
                <w:u w:val="none"/>
              </w:rPr>
              <w:t>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tblCellSpacing w:w="0" w:type="dxa"/>
        </w:trPr>
        <w:tc>
          <w:tcPr>
            <w:tcW w:w="1914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CCCCCC"/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 双绞线</w:t>
            </w:r>
          </w:p>
        </w:tc>
        <w:tc>
          <w:tcPr>
            <w:tcW w:w="64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10BASE-T : Cat3,4,5 UTP(≤100 meter)</w:t>
            </w:r>
          </w:p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100BASE-TX : Cat5 or later UTP(≤100 meter)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tblCellSpacing w:w="0" w:type="dxa"/>
        </w:trPr>
        <w:tc>
          <w:tcPr>
            <w:tcW w:w="1914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CCCCCC"/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 光缆</w:t>
            </w:r>
          </w:p>
        </w:tc>
        <w:tc>
          <w:tcPr>
            <w:tcW w:w="64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多模 ：1310nm  0～2KM</w:t>
            </w:r>
          </w:p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单模 ： 1310nm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0～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>KM  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tblCellSpacing w:w="0" w:type="dxa"/>
        </w:trPr>
        <w:tc>
          <w:tcPr>
            <w:tcW w:w="1914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CCCCCC"/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 交换机属性</w:t>
            </w:r>
          </w:p>
        </w:tc>
        <w:tc>
          <w:tcPr>
            <w:tcW w:w="64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应用层级 ： 二层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背板总带宽 ： 20Gbps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整机包转发率 ： 14.88Mpps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MAC 表 ： 16K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包缓冲区 ： 2M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延迟时间 ： &lt;4μs 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交换方式 ： 存储-转发 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tblCellSpacing w:w="0" w:type="dxa"/>
        </w:trPr>
        <w:tc>
          <w:tcPr>
            <w:tcW w:w="1914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CCCCCC"/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 防护等级</w:t>
            </w:r>
          </w:p>
        </w:tc>
        <w:tc>
          <w:tcPr>
            <w:tcW w:w="64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IP40 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tblCellSpacing w:w="0" w:type="dxa"/>
        </w:trPr>
        <w:tc>
          <w:tcPr>
            <w:tcW w:w="1914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CCCCCC"/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 LED 指标</w:t>
            </w:r>
          </w:p>
        </w:tc>
        <w:tc>
          <w:tcPr>
            <w:tcW w:w="64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电源指示灯 ： PWR</w:t>
            </w:r>
          </w:p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接口指示灯 ： 电口、光口（Link/ACT）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CellSpacing w:w="0" w:type="dxa"/>
        </w:trPr>
        <w:tc>
          <w:tcPr>
            <w:tcW w:w="1914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CCCCCC"/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 电源</w:t>
            </w:r>
          </w:p>
        </w:tc>
        <w:tc>
          <w:tcPr>
            <w:tcW w:w="6477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输入电压 ： DC12-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52</w:t>
            </w:r>
            <w:r>
              <w:rPr>
                <w:rFonts w:hint="eastAsia"/>
                <w:sz w:val="21"/>
                <w:szCs w:val="21"/>
              </w:rPr>
              <w:t>V（双电源冗余备份）</w:t>
            </w:r>
          </w:p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接入端子 ： 凤凰端子</w:t>
            </w:r>
          </w:p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支持双电源冗余</w:t>
            </w:r>
          </w:p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支持内置过流4.0A保护</w:t>
            </w:r>
          </w:p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支持反接保护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CellSpacing w:w="0" w:type="dxa"/>
        </w:trPr>
        <w:tc>
          <w:tcPr>
            <w:tcW w:w="8391" w:type="dxa"/>
            <w:gridSpan w:val="3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006699"/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b/>
              </w:rPr>
            </w:pPr>
            <w:r>
              <w:rPr>
                <w:rFonts w:hint="eastAsia"/>
                <w:b/>
              </w:rPr>
              <w:t>其他规格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CellSpacing w:w="0" w:type="dxa"/>
        </w:trPr>
        <w:tc>
          <w:tcPr>
            <w:tcW w:w="17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CCCCCC"/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 工作环境</w:t>
            </w:r>
          </w:p>
        </w:tc>
        <w:tc>
          <w:tcPr>
            <w:tcW w:w="6670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工作温度 ： -40～85 °C（-40～185 °F）</w:t>
            </w:r>
          </w:p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储存温度 :  -40～85 °C（-40～185 °F）</w:t>
            </w:r>
          </w:p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相对湿度 :  5%～95%(无凝露）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CellSpacing w:w="0" w:type="dxa"/>
        </w:trPr>
        <w:tc>
          <w:tcPr>
            <w:tcW w:w="17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CCCCCC"/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 行业标准</w:t>
            </w:r>
          </w:p>
        </w:tc>
        <w:tc>
          <w:tcPr>
            <w:tcW w:w="6670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EMI ： FCC Part 15 Subpart B Class A，EN 55022 Class A</w:t>
            </w:r>
          </w:p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 :</w:t>
            </w:r>
          </w:p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IEC(EN)61000-4-2(ESD) : ±8kV接触放电,±15kV空气放电</w:t>
            </w:r>
          </w:p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IEC(EN)61000-4-3(RS) : 10V/m(80～1000MHz)</w:t>
            </w:r>
          </w:p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IEC(EN)61000-4-4(EFT) : 电源线 :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±4kV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数据线 :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±2kV</w:t>
            </w:r>
          </w:p>
          <w:p>
            <w:pPr>
              <w:pStyle w:val="6"/>
              <w:snapToGrid w:val="0"/>
              <w:spacing w:before="0" w:beforeAutospacing="0" w:after="0" w:afterAutospacing="0"/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IEC(EN)61000-4-5(Surge) : 电源线 :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±4kV CM/±2kV DM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数据线 :±2kV</w:t>
            </w:r>
          </w:p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IEC(EN)61000-4-6(射频传导) : 3V(10kHz～150kHz),10V(150kHz～80MHz)</w:t>
            </w:r>
          </w:p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IEC(EN)61000-4-16(共模传导) : 30V cont. 300V,1s</w:t>
            </w:r>
          </w:p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IEC(EN )61000-4-8</w:t>
            </w:r>
          </w:p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Shock ： IEC 60068-2-27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Freefall ： IEC 60068-2-32</w:t>
            </w:r>
            <w:r>
              <w:rPr>
                <w:rFonts w:hint="eastAsia"/>
                <w:sz w:val="21"/>
                <w:szCs w:val="21"/>
              </w:rPr>
              <w:br w:type="textWrapping"/>
            </w:r>
            <w:r>
              <w:rPr>
                <w:rFonts w:hint="eastAsia"/>
                <w:sz w:val="21"/>
                <w:szCs w:val="21"/>
              </w:rPr>
              <w:t>Vibration ： IEC 60068-2-6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CellSpacing w:w="0" w:type="dxa"/>
        </w:trPr>
        <w:tc>
          <w:tcPr>
            <w:tcW w:w="17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CCCCCC"/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 机械属性</w:t>
            </w:r>
          </w:p>
        </w:tc>
        <w:tc>
          <w:tcPr>
            <w:tcW w:w="6670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外壳 ： 金属材质</w:t>
            </w:r>
          </w:p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安装 ： DIN 卡轨式，壁挂式安装</w:t>
            </w:r>
          </w:p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重量 ： 0.64Kg  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CellSpacing w:w="0" w:type="dxa"/>
        </w:trPr>
        <w:tc>
          <w:tcPr>
            <w:tcW w:w="17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CCCCCC"/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平均无故障时间</w:t>
            </w:r>
          </w:p>
        </w:tc>
        <w:tc>
          <w:tcPr>
            <w:tcW w:w="6670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300,000 小时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tblCellSpacing w:w="0" w:type="dxa"/>
        </w:trPr>
        <w:tc>
          <w:tcPr>
            <w:tcW w:w="1721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 w:color="auto" w:fill="CCCCCC"/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  质保</w:t>
            </w:r>
          </w:p>
        </w:tc>
        <w:tc>
          <w:tcPr>
            <w:tcW w:w="6670" w:type="dxa"/>
            <w:gridSpan w:val="2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年</w:t>
            </w:r>
          </w:p>
        </w:tc>
      </w:tr>
    </w:tbl>
    <w:p>
      <w:pPr>
        <w:pStyle w:val="6"/>
        <w:adjustRightInd w:val="0"/>
        <w:snapToGrid w:val="0"/>
        <w:spacing w:before="468" w:beforeLines="150" w:beforeAutospacing="0" w:line="382" w:lineRule="atLeast"/>
        <w:rPr>
          <w:rStyle w:val="10"/>
          <w:b w:val="0"/>
          <w:sz w:val="28"/>
          <w:szCs w:val="28"/>
        </w:rPr>
      </w:pPr>
      <w:r>
        <w:rPr>
          <w:rFonts w:hint="eastAsia"/>
          <w:b/>
          <w:sz w:val="28"/>
          <w:szCs w:val="28"/>
        </w:rPr>
        <w:t>四、安装尺寸（单位：mm）</w:t>
      </w:r>
    </w:p>
    <w:p>
      <w:pPr>
        <w:pStyle w:val="6"/>
        <w:snapToGrid w:val="0"/>
        <w:spacing w:before="0" w:beforeAutospacing="0" w:after="0" w:afterAutospacing="0" w:line="382" w:lineRule="atLeast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drawing>
          <wp:inline distT="0" distB="0" distL="114300" distR="114300">
            <wp:extent cx="5071745" cy="1770380"/>
            <wp:effectExtent l="0" t="0" r="14605" b="1270"/>
            <wp:docPr id="1" name="图片 1" descr="尺寸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尺寸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1745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snapToGrid w:val="0"/>
        <w:spacing w:before="468" w:beforeLines="150" w:beforeAutospacing="0" w:after="468" w:afterLines="150" w:afterAutospacing="0" w:line="382" w:lineRule="atLeast"/>
        <w:rPr>
          <w:rStyle w:val="10"/>
          <w:b w:val="0"/>
          <w:sz w:val="28"/>
          <w:szCs w:val="28"/>
        </w:rPr>
      </w:pPr>
      <w:r>
        <w:rPr>
          <w:rFonts w:hint="eastAsia"/>
          <w:b/>
          <w:sz w:val="28"/>
          <w:szCs w:val="28"/>
        </w:rPr>
        <w:t>五、安装方式</w:t>
      </w:r>
    </w:p>
    <w:p>
      <w:pPr>
        <w:pStyle w:val="6"/>
        <w:snapToGrid w:val="0"/>
        <w:spacing w:before="0" w:beforeAutospacing="0" w:after="0" w:afterAutospacing="0" w:line="382" w:lineRule="atLeast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sz w:val="21"/>
          <w:szCs w:val="21"/>
        </w:rPr>
        <w:drawing>
          <wp:inline distT="0" distB="0" distL="114300" distR="114300">
            <wp:extent cx="4370705" cy="2600960"/>
            <wp:effectExtent l="0" t="0" r="10795" b="8890"/>
            <wp:docPr id="3" name="图片 3" descr="安装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安装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70705" cy="260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snapToGrid w:val="0"/>
        <w:spacing w:before="468" w:beforeLines="150" w:beforeAutospacing="0" w:after="468" w:afterLines="150" w:afterAutospacing="0" w:line="382" w:lineRule="atLeast"/>
        <w:rPr>
          <w:rStyle w:val="10"/>
          <w:b w:val="0"/>
          <w:sz w:val="28"/>
          <w:szCs w:val="28"/>
        </w:rPr>
      </w:pPr>
      <w:r>
        <w:rPr>
          <w:rFonts w:hint="eastAsia"/>
          <w:b/>
          <w:sz w:val="28"/>
          <w:szCs w:val="28"/>
        </w:rPr>
        <w:t>五、连接图</w:t>
      </w:r>
    </w:p>
    <w:p>
      <w:pPr>
        <w:pStyle w:val="6"/>
        <w:snapToGrid w:val="0"/>
        <w:spacing w:before="468" w:beforeLines="150" w:beforeAutospacing="0" w:after="468" w:afterLines="150" w:afterAutospacing="0" w:line="382" w:lineRule="atLeas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inline distT="0" distB="0" distL="114300" distR="114300">
            <wp:extent cx="4671695" cy="2912745"/>
            <wp:effectExtent l="0" t="0" r="14605" b="1905"/>
            <wp:docPr id="4" name="图片 4" descr="连接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连接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71695" cy="2912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snapToGrid w:val="0"/>
        <w:spacing w:before="468" w:beforeLines="150" w:beforeAutospacing="0" w:after="468" w:afterLines="150" w:afterAutospacing="0" w:line="382" w:lineRule="atLeast"/>
        <w:rPr>
          <w:rStyle w:val="10"/>
          <w:b w:val="0"/>
          <w:sz w:val="28"/>
          <w:szCs w:val="28"/>
        </w:rPr>
      </w:pPr>
      <w:r>
        <w:rPr>
          <w:rFonts w:hint="eastAsia"/>
          <w:b/>
          <w:sz w:val="28"/>
          <w:szCs w:val="28"/>
        </w:rPr>
        <w:t>七、订购信息</w:t>
      </w:r>
    </w:p>
    <w:tbl>
      <w:tblPr>
        <w:tblStyle w:val="7"/>
        <w:tblW w:w="8391" w:type="dxa"/>
        <w:tblInd w:w="-360" w:type="dxa"/>
        <w:tblBorders>
          <w:top w:val="single" w:color="DDDDDD" w:sz="6" w:space="0"/>
          <w:left w:val="single" w:color="DDDDDD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0"/>
        <w:gridCol w:w="6131"/>
      </w:tblGrid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0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shd w:val="clear" w:color="auto" w:fill="006699"/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 w:line="382" w:lineRule="atLeast"/>
              <w:jc w:val="center"/>
              <w:rPr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color w:val="FFFFFF" w:themeColor="background1"/>
                <w:sz w:val="27"/>
                <w:szCs w:val="27"/>
                <w14:textFill>
                  <w14:solidFill>
                    <w14:schemeClr w14:val="bg1"/>
                  </w14:solidFill>
                </w14:textFill>
              </w:rPr>
              <w:t>型号</w:t>
            </w:r>
          </w:p>
        </w:tc>
        <w:tc>
          <w:tcPr>
            <w:tcW w:w="6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6699"/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 w:line="382" w:lineRule="atLeast"/>
              <w:jc w:val="center"/>
              <w:rPr>
                <w:b/>
                <w:color w:val="FFFFFF" w:themeColor="background1"/>
                <w:sz w:val="2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/>
                <w:b/>
                <w:color w:val="FFFFFF" w:themeColor="background1"/>
                <w:sz w:val="27"/>
                <w:szCs w:val="27"/>
                <w14:textFill>
                  <w14:solidFill>
                    <w14:schemeClr w14:val="bg1"/>
                  </w14:solidFill>
                </w14:textFill>
              </w:rPr>
              <w:t>描述</w:t>
            </w:r>
          </w:p>
        </w:tc>
      </w:tr>
      <w:tr>
        <w:tblPrEx>
          <w:tblBorders>
            <w:top w:val="single" w:color="DDDDDD" w:sz="6" w:space="0"/>
            <w:left w:val="single" w:color="DDDDDD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 w:line="382" w:lineRule="atLeast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VT-SC208G-M2</w:t>
            </w:r>
          </w:p>
        </w:tc>
        <w:tc>
          <w:tcPr>
            <w:tcW w:w="6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top w:w="91" w:type="dxa"/>
              <w:left w:w="76" w:type="dxa"/>
              <w:bottom w:w="91" w:type="dxa"/>
              <w:right w:w="76" w:type="dxa"/>
            </w:tcMar>
            <w:vAlign w:val="center"/>
          </w:tcPr>
          <w:p>
            <w:pPr>
              <w:pStyle w:val="6"/>
              <w:snapToGrid w:val="0"/>
              <w:spacing w:before="0" w:beforeAutospacing="0" w:after="0" w:afterAutospacing="0" w:line="382" w:lineRule="atLeas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2个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百兆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SC口光纤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+8个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百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兆电口、导轨式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安装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、DC12-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V供电</w:t>
            </w:r>
          </w:p>
        </w:tc>
      </w:tr>
    </w:tbl>
    <w:p/>
    <w:sectPr>
      <w:headerReference r:id="rId3" w:type="default"/>
      <w:footerReference r:id="rId4" w:type="default"/>
      <w:pgSz w:w="10433" w:h="14742"/>
      <w:pgMar w:top="1361" w:right="1531" w:bottom="1247" w:left="1531" w:header="369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hint="eastAsia"/>
        <w:w w:val="66"/>
      </w:rPr>
    </w:pPr>
    <w:r>
      <w:rPr>
        <w:rFonts w:hint="eastAsia" w:ascii="宋体" w:hAnsi="宋体" w:eastAsia="宋体" w:cs="Arial"/>
        <w:b w:val="0"/>
        <w:color w:val="000000" w:themeColor="text1"/>
        <w:sz w:val="44"/>
        <w:szCs w:val="44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514985</wp:posOffset>
              </wp:positionV>
              <wp:extent cx="4677410" cy="34925"/>
              <wp:effectExtent l="0" t="0" r="27940" b="22225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677508" cy="35169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top:40.55pt;height:2.75pt;width:368.3pt;mso-position-horizontal:center;mso-position-horizontal-relative:margin;z-index:251659264;mso-width-relative:page;mso-height-relative:page;" filled="f" stroked="t" coordsize="21600,21600" o:gfxdata="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MS0/zWAAAABgEAAA8AAAAAAAAAAQAgAAAAIgAAAGRycy9kb3ducmV2LnhtbFBLAQIU&#10;ABQAAAAIAIdO4kCHiTVp9QEAAL8DAAAOAAAAAAAAAAEAIAAAACUBAABkcnMvZTJvRG9jLnhtbFBL&#10;BQYAAAAABgAGAFkBAACMBQAAAAA=&#10;">
              <v:fill on="f" focussize="0,0"/>
              <v:stroke weight="0.5pt" color="#5B9BD5 [32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B53EB"/>
    <w:multiLevelType w:val="singleLevel"/>
    <w:tmpl w:val="5A2B53EB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4D0"/>
    <w:rsid w:val="00000CD3"/>
    <w:rsid w:val="00041EAB"/>
    <w:rsid w:val="00042FA5"/>
    <w:rsid w:val="000621F9"/>
    <w:rsid w:val="000709F1"/>
    <w:rsid w:val="00092764"/>
    <w:rsid w:val="00097EDC"/>
    <w:rsid w:val="001B2D82"/>
    <w:rsid w:val="001D56C2"/>
    <w:rsid w:val="00234B52"/>
    <w:rsid w:val="002409C3"/>
    <w:rsid w:val="0028110A"/>
    <w:rsid w:val="00327527"/>
    <w:rsid w:val="00333488"/>
    <w:rsid w:val="00333FFB"/>
    <w:rsid w:val="00366FA7"/>
    <w:rsid w:val="00372170"/>
    <w:rsid w:val="003C41C4"/>
    <w:rsid w:val="0045567D"/>
    <w:rsid w:val="004A5F3B"/>
    <w:rsid w:val="004C7B56"/>
    <w:rsid w:val="005018EB"/>
    <w:rsid w:val="00560E67"/>
    <w:rsid w:val="005B3228"/>
    <w:rsid w:val="005B7F50"/>
    <w:rsid w:val="005D7B8F"/>
    <w:rsid w:val="0062005C"/>
    <w:rsid w:val="00751D42"/>
    <w:rsid w:val="007B0659"/>
    <w:rsid w:val="0080358C"/>
    <w:rsid w:val="008124D0"/>
    <w:rsid w:val="008550A8"/>
    <w:rsid w:val="008D752A"/>
    <w:rsid w:val="00922CA2"/>
    <w:rsid w:val="00943F15"/>
    <w:rsid w:val="00975FE3"/>
    <w:rsid w:val="00983893"/>
    <w:rsid w:val="009E3E56"/>
    <w:rsid w:val="00A019CD"/>
    <w:rsid w:val="00B067A4"/>
    <w:rsid w:val="00B160DF"/>
    <w:rsid w:val="00B52EF0"/>
    <w:rsid w:val="00B71636"/>
    <w:rsid w:val="00BA58FE"/>
    <w:rsid w:val="00BE653C"/>
    <w:rsid w:val="00BE6A48"/>
    <w:rsid w:val="00BF50D7"/>
    <w:rsid w:val="00BF7DBE"/>
    <w:rsid w:val="00C0301D"/>
    <w:rsid w:val="00C10FB9"/>
    <w:rsid w:val="00C66B09"/>
    <w:rsid w:val="00CC04BD"/>
    <w:rsid w:val="00DF034A"/>
    <w:rsid w:val="00DF137E"/>
    <w:rsid w:val="00DF269E"/>
    <w:rsid w:val="00DF60DC"/>
    <w:rsid w:val="00E00BF3"/>
    <w:rsid w:val="00E50C48"/>
    <w:rsid w:val="00E96630"/>
    <w:rsid w:val="00EB0B7B"/>
    <w:rsid w:val="00F3675E"/>
    <w:rsid w:val="00F56379"/>
    <w:rsid w:val="00F9659B"/>
    <w:rsid w:val="00FD3428"/>
    <w:rsid w:val="01E23021"/>
    <w:rsid w:val="02207788"/>
    <w:rsid w:val="0DF97005"/>
    <w:rsid w:val="10211957"/>
    <w:rsid w:val="110E0102"/>
    <w:rsid w:val="25A35777"/>
    <w:rsid w:val="330A71B6"/>
    <w:rsid w:val="341D1761"/>
    <w:rsid w:val="3FDA6F96"/>
    <w:rsid w:val="40173F97"/>
    <w:rsid w:val="41EB5D09"/>
    <w:rsid w:val="4A091957"/>
    <w:rsid w:val="4C261853"/>
    <w:rsid w:val="4FDD1952"/>
    <w:rsid w:val="51390D6B"/>
    <w:rsid w:val="51451ABE"/>
    <w:rsid w:val="521C37DF"/>
    <w:rsid w:val="547A06CF"/>
    <w:rsid w:val="550C43BA"/>
    <w:rsid w:val="55E3638D"/>
    <w:rsid w:val="58212ACF"/>
    <w:rsid w:val="5A5F13BB"/>
    <w:rsid w:val="628E412B"/>
    <w:rsid w:val="6845550E"/>
    <w:rsid w:val="73F5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5"/>
    <w:qFormat/>
    <w:uiPriority w:val="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字符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副标题 字符"/>
    <w:basedOn w:val="9"/>
    <w:link w:val="5"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295</Words>
  <Characters>1682</Characters>
  <Lines>14</Lines>
  <Paragraphs>3</Paragraphs>
  <TotalTime>10</TotalTime>
  <ScaleCrop>false</ScaleCrop>
  <LinksUpToDate>false</LinksUpToDate>
  <CharactersWithSpaces>1974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zwq</dc:creator>
  <cp:lastModifiedBy>VT光纤收发器交换机</cp:lastModifiedBy>
  <dcterms:modified xsi:type="dcterms:W3CDTF">2021-03-26T03:31:26Z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