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69" w:after="269" w:line="315" w:lineRule="atLeast"/>
        <w:jc w:val="left"/>
        <w:rPr>
          <w:rFonts w:ascii="Tahoma" w:hAnsi="Tahoma" w:eastAsia="宋体" w:cs="Tahoma"/>
          <w:b/>
          <w:color w:val="000000"/>
          <w:kern w:val="0"/>
          <w:sz w:val="28"/>
          <w:szCs w:val="21"/>
        </w:rPr>
      </w:pPr>
      <w:r>
        <w:rPr>
          <w:rFonts w:hint="eastAsia" w:ascii="Tahoma" w:hAnsi="Tahoma" w:eastAsia="宋体" w:cs="Tahoma"/>
          <w:b/>
          <w:color w:val="000000"/>
          <w:kern w:val="0"/>
          <w:sz w:val="28"/>
          <w:szCs w:val="21"/>
        </w:rPr>
        <w:t>485</w:t>
      </w:r>
      <w:r>
        <w:rPr>
          <w:rFonts w:hint="eastAsia" w:ascii="Tahoma" w:hAnsi="Tahoma" w:eastAsia="宋体" w:cs="Tahoma"/>
          <w:b/>
          <w:color w:val="000000"/>
          <w:kern w:val="0"/>
          <w:sz w:val="28"/>
          <w:szCs w:val="21"/>
          <w:lang w:val="en-US" w:eastAsia="zh-CN"/>
        </w:rPr>
        <w:t>/232/422</w:t>
      </w:r>
      <w:r>
        <w:rPr>
          <w:rFonts w:hint="eastAsia" w:ascii="Tahoma" w:hAnsi="Tahoma" w:eastAsia="宋体" w:cs="Tahoma"/>
          <w:b/>
          <w:color w:val="000000"/>
          <w:kern w:val="0"/>
          <w:sz w:val="28"/>
          <w:szCs w:val="21"/>
        </w:rPr>
        <w:t>光端机</w:t>
      </w:r>
      <w:r>
        <w:rPr>
          <w:rFonts w:hint="eastAsia" w:ascii="Tahoma" w:hAnsi="Tahoma" w:eastAsia="宋体" w:cs="Tahoma"/>
          <w:b/>
          <w:color w:val="000000"/>
          <w:kern w:val="0"/>
          <w:sz w:val="28"/>
          <w:szCs w:val="21"/>
        </w:rPr>
        <w:drawing>
          <wp:inline distT="0" distB="0" distL="0" distR="0">
            <wp:extent cx="5276850" cy="3543300"/>
            <wp:effectExtent l="0" t="0" r="11430" b="7620"/>
            <wp:docPr id="3" name="图片 3" descr="D:\产品图片\产品图片2\视频光端机图片\3合一光猫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产品图片\产品图片2\视频光端机图片\3合一光猫图片.jpg"/>
                    <pic:cNvPicPr>
                      <a:picLocks noChangeAspect="1" noChangeArrowheads="1"/>
                    </pic:cNvPicPr>
                  </pic:nvPicPr>
                  <pic:blipFill>
                    <a:blip r:embed="rId4"/>
                    <a:srcRect/>
                    <a:stretch>
                      <a:fillRect/>
                    </a:stretch>
                  </pic:blipFill>
                  <pic:spPr>
                    <a:xfrm>
                      <a:off x="0" y="0"/>
                      <a:ext cx="5276850" cy="3543300"/>
                    </a:xfrm>
                    <a:prstGeom prst="rect">
                      <a:avLst/>
                    </a:prstGeom>
                    <a:noFill/>
                    <a:ln w="9525">
                      <a:noFill/>
                      <a:miter lim="800000"/>
                      <a:headEnd/>
                      <a:tailEnd/>
                    </a:ln>
                  </pic:spPr>
                </pic:pic>
              </a:graphicData>
            </a:graphic>
          </wp:inline>
        </w:drawing>
      </w:r>
    </w:p>
    <w:p>
      <w:pPr>
        <w:widowControl/>
        <w:shd w:val="clear" w:color="auto" w:fill="FFFFFF"/>
        <w:spacing w:before="269" w:after="269" w:line="315" w:lineRule="atLeast"/>
        <w:ind w:firstLine="240" w:firstLineChars="10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光端机可实现在1芯光纤上传输1路或者多路485</w:t>
      </w:r>
      <w:r>
        <w:rPr>
          <w:rFonts w:hint="eastAsia" w:asciiTheme="majorEastAsia" w:hAnsiTheme="majorEastAsia" w:eastAsiaTheme="majorEastAsia" w:cstheme="majorEastAsia"/>
          <w:color w:val="000000"/>
          <w:kern w:val="0"/>
          <w:sz w:val="24"/>
          <w:szCs w:val="24"/>
          <w:lang w:val="en-US" w:eastAsia="zh-CN"/>
        </w:rPr>
        <w:t>/232/422</w:t>
      </w:r>
      <w:r>
        <w:rPr>
          <w:rFonts w:hint="eastAsia" w:asciiTheme="majorEastAsia" w:hAnsiTheme="majorEastAsia" w:eastAsiaTheme="majorEastAsia" w:cstheme="majorEastAsia"/>
          <w:color w:val="000000"/>
          <w:kern w:val="0"/>
          <w:sz w:val="24"/>
          <w:szCs w:val="24"/>
        </w:rPr>
        <w:t>数据，将数据信号在单芯光纤上实时同步、无失真、高质量地传输。</w:t>
      </w:r>
    </w:p>
    <w:p>
      <w:pPr>
        <w:widowControl/>
        <w:shd w:val="clear" w:color="auto" w:fill="FFFFFF"/>
        <w:spacing w:before="269" w:after="269" w:line="315" w:lineRule="atLeast"/>
        <w:ind w:left="241" w:hanging="241" w:hangingChars="100"/>
        <w:jc w:val="lef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 </w:t>
      </w:r>
    </w:p>
    <w:p>
      <w:pPr>
        <w:widowControl/>
        <w:shd w:val="clear" w:color="auto" w:fill="FFFFFF"/>
        <w:spacing w:before="269" w:after="269"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before="269" w:after="269" w:line="315" w:lineRule="atLeast"/>
        <w:ind w:left="241" w:hanging="241" w:hangingChars="10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特点:</w:t>
      </w:r>
      <w:bookmarkStart w:id="0" w:name="_GoBack"/>
      <w:bookmarkEnd w:id="0"/>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自动兼容PAL、NTSC、SECAM多种视频制式</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SMT 表面贴装工艺，无电磁、射频及地电流干扰</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电源、链路、视频等参数状态指示的 LED，可监视系统的运行状况</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自适应技术，过载保护，自动恢复，使用时无需进行现场的电气或光学调节</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工业级设计，模块化设计使设备可靠灵活，结构紧凑，安装简便，即插即用 </w:t>
      </w: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b/>
          <w:bCs/>
          <w:color w:val="000000"/>
          <w:kern w:val="0"/>
          <w:sz w:val="24"/>
          <w:szCs w:val="24"/>
        </w:rPr>
      </w:pPr>
    </w:p>
    <w:p>
      <w:pPr>
        <w:widowControl/>
        <w:shd w:val="clear" w:color="auto" w:fill="FFFFFF"/>
        <w:spacing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技术规格:</w:t>
      </w:r>
    </w:p>
    <w:p>
      <w:pPr>
        <w:widowControl/>
        <w:shd w:val="clear" w:color="auto" w:fill="FFFFFF"/>
        <w:spacing w:line="315" w:lineRule="atLeast"/>
        <w:jc w:val="left"/>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b/>
          <w:bCs/>
          <w:color w:val="000000"/>
          <w:kern w:val="0"/>
          <w:sz w:val="24"/>
          <w:szCs w:val="24"/>
        </w:rPr>
        <w:t>数据参数</w:t>
      </w:r>
      <w:r>
        <w:rPr>
          <w:rFonts w:hint="eastAsia" w:asciiTheme="majorEastAsia" w:hAnsiTheme="majorEastAsia" w:eastAsiaTheme="majorEastAsia" w:cstheme="majorEastAsia"/>
          <w:b/>
          <w:bCs/>
          <w:color w:val="000000"/>
          <w:kern w:val="0"/>
          <w:sz w:val="24"/>
          <w:szCs w:val="24"/>
          <w:lang w:eastAsia="zh-CN"/>
        </w:rPr>
        <w:t>：</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rPr>
        <w:t>路数：RS</w:t>
      </w:r>
      <w:r>
        <w:rPr>
          <w:rFonts w:hint="eastAsia" w:asciiTheme="majorEastAsia" w:hAnsiTheme="majorEastAsia" w:eastAsiaTheme="majorEastAsia" w:cstheme="majorEastAsia"/>
          <w:color w:val="000000"/>
          <w:kern w:val="0"/>
          <w:sz w:val="24"/>
          <w:szCs w:val="24"/>
          <w:lang w:val="en-US" w:eastAsia="zh-CN"/>
        </w:rPr>
        <w:t>485 1-8</w:t>
      </w:r>
      <w:r>
        <w:rPr>
          <w:rFonts w:hint="eastAsia" w:asciiTheme="majorEastAsia" w:hAnsiTheme="majorEastAsia" w:eastAsiaTheme="majorEastAsia" w:cstheme="majorEastAsia"/>
          <w:color w:val="000000"/>
          <w:kern w:val="0"/>
          <w:sz w:val="24"/>
          <w:szCs w:val="24"/>
        </w:rPr>
        <w:t>路</w:t>
      </w:r>
      <w:r>
        <w:rPr>
          <w:rFonts w:hint="eastAsia" w:asciiTheme="majorEastAsia" w:hAnsiTheme="majorEastAsia" w:eastAsiaTheme="majorEastAsia" w:cstheme="majorEastAsia"/>
          <w:color w:val="000000"/>
          <w:kern w:val="0"/>
          <w:sz w:val="24"/>
          <w:szCs w:val="24"/>
          <w:lang w:val="en-US" w:eastAsia="zh-CN"/>
        </w:rPr>
        <w:t xml:space="preserve">   </w:t>
      </w:r>
      <w:r>
        <w:rPr>
          <w:rFonts w:hint="eastAsia" w:asciiTheme="majorEastAsia" w:hAnsiTheme="majorEastAsia" w:eastAsiaTheme="majorEastAsia" w:cstheme="majorEastAsia"/>
          <w:color w:val="000000"/>
          <w:kern w:val="0"/>
          <w:sz w:val="24"/>
          <w:szCs w:val="24"/>
        </w:rPr>
        <w:t>RS</w:t>
      </w:r>
      <w:r>
        <w:rPr>
          <w:rFonts w:hint="eastAsia" w:asciiTheme="majorEastAsia" w:hAnsiTheme="majorEastAsia" w:eastAsiaTheme="majorEastAsia" w:cstheme="majorEastAsia"/>
          <w:color w:val="000000"/>
          <w:kern w:val="0"/>
          <w:sz w:val="24"/>
          <w:szCs w:val="24"/>
          <w:lang w:val="en-US" w:eastAsia="zh-CN"/>
        </w:rPr>
        <w:t xml:space="preserve">232 1-2路 </w:t>
      </w:r>
      <w:r>
        <w:rPr>
          <w:rFonts w:hint="eastAsia" w:asciiTheme="majorEastAsia" w:hAnsiTheme="majorEastAsia" w:eastAsiaTheme="majorEastAsia" w:cstheme="majorEastAsia"/>
          <w:color w:val="000000"/>
          <w:kern w:val="0"/>
          <w:sz w:val="24"/>
          <w:szCs w:val="24"/>
        </w:rPr>
        <w:t>RS</w:t>
      </w:r>
      <w:r>
        <w:rPr>
          <w:rFonts w:hint="eastAsia" w:asciiTheme="majorEastAsia" w:hAnsiTheme="majorEastAsia" w:eastAsiaTheme="majorEastAsia" w:cstheme="majorEastAsia"/>
          <w:color w:val="000000"/>
          <w:kern w:val="0"/>
          <w:sz w:val="24"/>
          <w:szCs w:val="24"/>
          <w:lang w:val="en-US" w:eastAsia="zh-CN"/>
        </w:rPr>
        <w:t>422 1-4路</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波特率 0 ~ 115kbps  </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误码率 小于10-10</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接口</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光接口（OPTTICAL) FC接口</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3.96接插线端子</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电源参数</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型号 输入电压 输出电压</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电源适配器 DC：5V</w:t>
      </w:r>
    </w:p>
    <w:p>
      <w:pPr>
        <w:widowControl/>
        <w:shd w:val="clear" w:color="auto" w:fill="FFFFFF"/>
        <w:spacing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状态指示</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指示灯  系统运行、光路、数据</w:t>
      </w:r>
    </w:p>
    <w:p>
      <w:pPr>
        <w:widowControl/>
        <w:shd w:val="clear" w:color="auto" w:fill="FFFFFF"/>
        <w:spacing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环境特性</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工作温度 -40℃~+75℃</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储存温度 -40℃~+85℃</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工作湿度 0~95%无冷凝   </w:t>
      </w:r>
    </w:p>
    <w:p>
      <w:pPr>
        <w:widowControl/>
        <w:shd w:val="clear" w:color="auto" w:fill="FFFFFF"/>
        <w:spacing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产品规格</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长130mm  宽75mm  高30mm </w:t>
      </w:r>
    </w:p>
    <w:p>
      <w:pPr>
        <w:widowControl/>
        <w:shd w:val="clear" w:color="auto" w:fill="FFFFFF"/>
        <w:spacing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可靠性</w:t>
      </w: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＊平均无故障工作时间（MTBF） 大于10万小时  </w:t>
      </w: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color w:val="4F81BD" w:themeColor="accent1"/>
          <w:sz w:val="24"/>
          <w:szCs w:val="24"/>
        </w:rPr>
      </w:pPr>
      <w:r>
        <w:rPr>
          <w:rFonts w:hint="eastAsia" w:asciiTheme="majorEastAsia" w:hAnsiTheme="majorEastAsia" w:eastAsiaTheme="majorEastAsia" w:cstheme="majorEastAsia"/>
          <w:color w:val="4F81BD" w:themeColor="accent1"/>
          <w:sz w:val="24"/>
          <w:szCs w:val="24"/>
        </w:rPr>
        <w:t>安装指南：</w:t>
      </w:r>
    </w:p>
    <w:p>
      <w:pPr>
        <w:jc w:val="left"/>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设备外壳并不防水，设备安装箱应充分考虑防水。</w:t>
      </w:r>
    </w:p>
    <w:p>
      <w:pPr>
        <w:numPr>
          <w:ilvl w:val="0"/>
          <w:numId w:val="1"/>
        </w:numPr>
        <w:jc w:val="left"/>
        <w:rPr>
          <w:rFonts w:hint="eastAsia" w:asciiTheme="majorEastAsia" w:hAnsiTheme="majorEastAsia" w:eastAsiaTheme="majorEastAsia" w:cstheme="majorEastAsia"/>
          <w:color w:val="4F81BD" w:themeColor="accent1"/>
          <w:sz w:val="24"/>
          <w:szCs w:val="24"/>
        </w:rPr>
      </w:pPr>
      <w:r>
        <w:rPr>
          <w:rFonts w:hint="eastAsia" w:asciiTheme="majorEastAsia" w:hAnsiTheme="majorEastAsia" w:eastAsiaTheme="majorEastAsia" w:cstheme="majorEastAsia"/>
          <w:color w:val="4F81BD" w:themeColor="accent1"/>
          <w:sz w:val="24"/>
          <w:szCs w:val="24"/>
        </w:rPr>
        <w:t>防雷，静电与接地：</w:t>
      </w:r>
    </w:p>
    <w:p>
      <w:pPr>
        <w:jc w:val="left"/>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我们强烈建议设备安装者充分考虑接地的雷击影响，并做好接地与防雷措施，过强的静电会使设备内的光器件与数据芯片损坏，建议对光端机的数据端口进行插拔的时候，请先将光端机的电源断开。</w:t>
      </w:r>
    </w:p>
    <w:p>
      <w:pPr>
        <w:jc w:val="left"/>
        <w:rPr>
          <w:rFonts w:hint="eastAsia" w:asciiTheme="majorEastAsia" w:hAnsiTheme="majorEastAsia" w:eastAsiaTheme="majorEastAsia" w:cstheme="majorEastAsia"/>
          <w:color w:val="4F81BD" w:themeColor="accent1"/>
          <w:sz w:val="24"/>
          <w:szCs w:val="24"/>
        </w:rPr>
      </w:pPr>
      <w:r>
        <w:rPr>
          <w:rFonts w:hint="eastAsia" w:asciiTheme="majorEastAsia" w:hAnsiTheme="majorEastAsia" w:eastAsiaTheme="majorEastAsia" w:cstheme="majorEastAsia"/>
          <w:color w:val="4F81BD" w:themeColor="accent1"/>
          <w:sz w:val="24"/>
          <w:szCs w:val="24"/>
        </w:rPr>
        <w:t>2、光纤与光器件：</w:t>
      </w:r>
    </w:p>
    <w:p>
      <w:pPr>
        <w:jc w:val="left"/>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光端机的光器机非常脆弱，对光纤进行插拔的时候需尽量小心，应避免对光器件造成永久损坏。需特别注意的是：光端机的光器件所产生的光源对人眼睛会产生永久性的损害，所以切勿用眼睛直视光端机的光器件。如需对光端机的光功率进行检测的时候，请使用光功率计一类的仪表。</w:t>
      </w:r>
    </w:p>
    <w:p>
      <w:pPr>
        <w:jc w:val="left"/>
        <w:rPr>
          <w:rFonts w:hint="eastAsia" w:asciiTheme="majorEastAsia" w:hAnsiTheme="majorEastAsia" w:eastAsiaTheme="majorEastAsia" w:cstheme="majorEastAsia"/>
          <w:color w:val="000000" w:themeColor="text1"/>
          <w:sz w:val="24"/>
          <w:szCs w:val="24"/>
        </w:rPr>
      </w:pPr>
    </w:p>
    <w:p>
      <w:pPr>
        <w:jc w:val="left"/>
        <w:rPr>
          <w:rFonts w:hint="eastAsia" w:asciiTheme="majorEastAsia" w:hAnsiTheme="majorEastAsia" w:eastAsiaTheme="majorEastAsia" w:cstheme="majorEastAsia"/>
          <w:color w:val="4F81BD" w:themeColor="accent1"/>
          <w:sz w:val="24"/>
          <w:szCs w:val="24"/>
        </w:rPr>
      </w:pPr>
      <w:r>
        <w:rPr>
          <w:rFonts w:hint="eastAsia" w:asciiTheme="majorEastAsia" w:hAnsiTheme="majorEastAsia" w:eastAsiaTheme="majorEastAsia" w:cstheme="majorEastAsia"/>
          <w:color w:val="4F81BD" w:themeColor="accent1"/>
          <w:sz w:val="24"/>
          <w:szCs w:val="24"/>
        </w:rPr>
        <w:t>3、设备与安装步骤：</w:t>
      </w:r>
    </w:p>
    <w:p>
      <w:pPr>
        <w:jc w:val="left"/>
        <w:rPr>
          <w:rFonts w:hint="eastAsia" w:asciiTheme="majorEastAsia" w:hAnsiTheme="majorEastAsia" w:eastAsiaTheme="majorEastAsia" w:cstheme="majorEastAsia"/>
          <w:color w:val="4F81BD" w:themeColor="accent1"/>
          <w:sz w:val="24"/>
          <w:szCs w:val="24"/>
        </w:rPr>
      </w:pPr>
    </w:p>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（1）、光纤安装：在确认光纤链路符合安装要求的情况下请将光纤小心的插入光端机的光纤接口。</w:t>
      </w:r>
    </w:p>
    <w:p>
      <w:pPr>
        <w:numPr>
          <w:ilvl w:val="0"/>
          <w:numId w:val="2"/>
        </w:num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、数据接口为 接线端子</w:t>
      </w:r>
    </w:p>
    <w:p>
      <w:pPr>
        <w:jc w:val="left"/>
        <w:rPr>
          <w:rFonts w:hint="eastAsia" w:asciiTheme="majorEastAsia" w:hAnsiTheme="majorEastAsia" w:eastAsiaTheme="majorEastAsia" w:cstheme="majorEastAsia"/>
          <w:color w:val="4F81BD" w:themeColor="accent1"/>
          <w:sz w:val="21"/>
          <w:szCs w:val="21"/>
        </w:rPr>
      </w:pPr>
    </w:p>
    <w:p>
      <w:pPr>
        <w:widowControl/>
        <w:shd w:val="clear" w:color="auto" w:fill="FFFFFF"/>
        <w:spacing w:before="269" w:after="269" w:line="315" w:lineRule="atLeast"/>
        <w:jc w:val="left"/>
        <w:rPr>
          <w:rFonts w:hint="eastAsia" w:asciiTheme="majorEastAsia" w:hAnsiTheme="majorEastAsia" w:eastAsiaTheme="majorEastAsia" w:cstheme="majorEastAsia"/>
          <w:color w:val="000000"/>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2AFD"/>
    <w:multiLevelType w:val="singleLevel"/>
    <w:tmpl w:val="56D52AFD"/>
    <w:lvl w:ilvl="0" w:tentative="0">
      <w:start w:val="1"/>
      <w:numFmt w:val="decimal"/>
      <w:suff w:val="nothing"/>
      <w:lvlText w:val="%1、"/>
      <w:lvlJc w:val="left"/>
    </w:lvl>
  </w:abstractNum>
  <w:abstractNum w:abstractNumId="1">
    <w:nsid w:val="56D53079"/>
    <w:multiLevelType w:val="singleLevel"/>
    <w:tmpl w:val="56D5307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5A"/>
    <w:rsid w:val="003830E4"/>
    <w:rsid w:val="00681AF8"/>
    <w:rsid w:val="00706592"/>
    <w:rsid w:val="0077143C"/>
    <w:rsid w:val="007F63FB"/>
    <w:rsid w:val="009C7050"/>
    <w:rsid w:val="00A2765A"/>
    <w:rsid w:val="00C36E17"/>
    <w:rsid w:val="00C9390D"/>
    <w:rsid w:val="00CF70E9"/>
    <w:rsid w:val="00D7293B"/>
    <w:rsid w:val="00E37C54"/>
    <w:rsid w:val="40E52C3D"/>
    <w:rsid w:val="6AEE30B1"/>
    <w:rsid w:val="7F62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131</Words>
  <Characters>747</Characters>
  <Lines>6</Lines>
  <Paragraphs>1</Paragraphs>
  <TotalTime>3</TotalTime>
  <ScaleCrop>false</ScaleCrop>
  <LinksUpToDate>false</LinksUpToDate>
  <CharactersWithSpaces>877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2016-09-20T03:25:00Z</dcterms:created>
  <dc:creator>Hasee</dc:creator>
  <cp:lastModifiedBy>VT光纤收发器交换机</cp:lastModifiedBy>
  <dcterms:modified xsi:type="dcterms:W3CDTF">2020-12-08T08:40:12Z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